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6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附件1：</w:t>
      </w:r>
      <w:r>
        <w:rPr>
          <w:rStyle w:val="6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07"/>
        <w:gridCol w:w="1406"/>
        <w:gridCol w:w="664"/>
        <w:gridCol w:w="823"/>
        <w:gridCol w:w="1251"/>
        <w:gridCol w:w="1418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机械插秧投标报价表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机械插秧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含起秧、插秧、运秧（如机插秧无法作业地块，由中标方以其他方式进行栽插，每亩栽插不低于1.9万穴，每穴不低于7棵秧苗，按条田组3日之内栽插完成）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yellow"/>
                <w:lang w:val="en-US" w:eastAsia="zh-CN"/>
              </w:rPr>
              <w:t>10280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90元/亩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2.投标综合价格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（费用均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 w:eastAsia="zh-CN"/>
              </w:rPr>
              <w:t>含税费、转运费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不得高于同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期周边农机作业价格，超出范围，属于废标，保证金不退；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4CF3"/>
    <w:rsid w:val="17564CF3"/>
    <w:rsid w:val="26FE65D2"/>
    <w:rsid w:val="2AB3443F"/>
    <w:rsid w:val="401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姜姝妍</dc:creator>
  <cp:lastModifiedBy>姜姝妍</cp:lastModifiedBy>
  <dcterms:modified xsi:type="dcterms:W3CDTF">2025-03-12T07:21:08Z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49718DB7C8CB4F3DA91943ACEFB95D1A_11</vt:lpwstr>
  </property>
</Properties>
</file>