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0"/>
          <w:sz w:val="36"/>
          <w:szCs w:val="36"/>
          <w:shd w:val="clear" w:color="auto" w:fill="FFFFFF"/>
          <w:lang w:val="en-US" w:eastAsia="zh-CN" w:bidi="ar-SA"/>
        </w:rPr>
      </w:pPr>
      <w:r>
        <w:rPr>
          <w:rFonts w:hint="eastAsia" w:ascii="仿宋" w:hAnsi="仿宋" w:eastAsia="仿宋" w:cs="仿宋"/>
          <w:b/>
          <w:bCs/>
          <w:color w:val="000000"/>
          <w:kern w:val="0"/>
          <w:sz w:val="36"/>
          <w:szCs w:val="36"/>
          <w:shd w:val="clear" w:color="auto" w:fill="FFFFFF"/>
          <w:lang w:val="en-US" w:eastAsia="zh-CN" w:bidi="ar-SA"/>
        </w:rPr>
        <w:t>化肥购销合同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720" w:firstLineChars="24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合同编号：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购买方：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（以下简称“甲方”）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供货方：</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 xml:space="preserve">（以下简称“乙方”）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根据《中华人民共和国民法典》、《中华人民共和国消费者权益保护法》及其他有关法律、法规的规定，本着公平、诚信的原则，经甲乙双方协商一致，签订本合同，以资共同信守。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一、化肥购销产品：</w:t>
      </w:r>
    </w:p>
    <w:tbl>
      <w:tblPr>
        <w:tblStyle w:val="6"/>
        <w:tblW w:w="8496"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95"/>
        <w:gridCol w:w="1101"/>
        <w:gridCol w:w="792"/>
        <w:gridCol w:w="1080"/>
        <w:gridCol w:w="145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序号</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2"/>
                <w:sz w:val="22"/>
                <w:szCs w:val="22"/>
                <w:highlight w:val="none"/>
                <w:vertAlign w:val="baseline"/>
                <w:lang w:val="en-US" w:eastAsia="zh-CN" w:bidi="ar-SA"/>
              </w:rPr>
            </w:pPr>
            <w:r>
              <w:rPr>
                <w:rFonts w:hint="eastAsia" w:ascii="宋体" w:hAnsi="宋体"/>
                <w:sz w:val="22"/>
                <w:szCs w:val="22"/>
                <w:highlight w:val="none"/>
                <w:vertAlign w:val="baseline"/>
                <w:lang w:val="en-US" w:eastAsia="zh-CN"/>
              </w:rPr>
              <w:t>产品名称</w:t>
            </w: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规格</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单位</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数量</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1</w:t>
            </w:r>
          </w:p>
        </w:tc>
        <w:tc>
          <w:tcPr>
            <w:tcW w:w="1695" w:type="dxa"/>
            <w:noWrap w:val="0"/>
            <w:vAlign w:val="center"/>
          </w:tcPr>
          <w:p>
            <w:pPr>
              <w:keepNext w:val="0"/>
              <w:keepLines w:val="0"/>
              <w:widowControl/>
              <w:suppressLineNumbers w:val="0"/>
              <w:jc w:val="center"/>
              <w:textAlignment w:val="center"/>
              <w:rPr>
                <w:rFonts w:hint="eastAsia" w:ascii="宋体" w:hAnsi="宋体"/>
                <w:kern w:val="2"/>
                <w:sz w:val="22"/>
                <w:szCs w:val="22"/>
                <w:highlight w:val="none"/>
                <w:u w:val="none"/>
                <w:vertAlign w:val="baseline"/>
                <w:lang w:val="en-US" w:eastAsia="zh-CN" w:bidi="ar-SA"/>
              </w:rPr>
            </w:pPr>
          </w:p>
        </w:tc>
        <w:tc>
          <w:tcPr>
            <w:tcW w:w="1101" w:type="dxa"/>
            <w:noWrap w:val="0"/>
            <w:vAlign w:val="center"/>
          </w:tcPr>
          <w:p>
            <w:pPr>
              <w:keepNext w:val="0"/>
              <w:keepLines w:val="0"/>
              <w:widowControl/>
              <w:suppressLineNumbers w:val="0"/>
              <w:jc w:val="center"/>
              <w:textAlignment w:val="center"/>
              <w:rPr>
                <w:rFonts w:hint="default" w:ascii="宋体" w:hAnsi="宋体"/>
                <w:sz w:val="22"/>
                <w:szCs w:val="22"/>
                <w:highlight w:val="none"/>
                <w:vertAlign w:val="baseline"/>
                <w:lang w:val="en-US" w:eastAsia="zh-CN"/>
              </w:rPr>
            </w:pPr>
          </w:p>
        </w:tc>
        <w:tc>
          <w:tcPr>
            <w:tcW w:w="792" w:type="dxa"/>
            <w:noWrap w:val="0"/>
            <w:vAlign w:val="center"/>
          </w:tcPr>
          <w:p>
            <w:pPr>
              <w:keepNext w:val="0"/>
              <w:keepLines w:val="0"/>
              <w:widowControl/>
              <w:suppressLineNumbers w:val="0"/>
              <w:jc w:val="center"/>
              <w:textAlignment w:val="center"/>
              <w:rPr>
                <w:rFonts w:hint="eastAsia" w:ascii="宋体" w:hAnsi="宋体"/>
                <w:sz w:val="22"/>
                <w:szCs w:val="22"/>
                <w:highlight w:val="none"/>
                <w:vertAlign w:val="baseline"/>
                <w:lang w:val="en-US" w:eastAsia="zh-CN"/>
              </w:rPr>
            </w:pPr>
          </w:p>
        </w:tc>
        <w:tc>
          <w:tcPr>
            <w:tcW w:w="1080" w:type="dxa"/>
            <w:noWrap w:val="0"/>
            <w:vAlign w:val="center"/>
          </w:tcPr>
          <w:p>
            <w:pPr>
              <w:keepNext w:val="0"/>
              <w:keepLines w:val="0"/>
              <w:widowControl/>
              <w:suppressLineNumbers w:val="0"/>
              <w:jc w:val="center"/>
              <w:textAlignment w:val="center"/>
              <w:rPr>
                <w:rFonts w:hint="default" w:ascii="宋体" w:hAnsi="宋体"/>
                <w:sz w:val="22"/>
                <w:szCs w:val="22"/>
                <w:highlight w:val="none"/>
                <w:vertAlign w:val="baseline"/>
                <w:lang w:val="en-US" w:eastAsia="zh-CN"/>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2</w:t>
            </w:r>
          </w:p>
        </w:tc>
        <w:tc>
          <w:tcPr>
            <w:tcW w:w="1695"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101"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792"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08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b/>
                <w:bCs/>
                <w:sz w:val="22"/>
                <w:szCs w:val="22"/>
                <w:highlight w:val="none"/>
                <w:vertAlign w:val="baseline"/>
                <w:lang w:val="en-US" w:eastAsia="zh-CN"/>
              </w:rPr>
              <w:t>合计金额：</w:t>
            </w:r>
          </w:p>
        </w:tc>
        <w:tc>
          <w:tcPr>
            <w:tcW w:w="61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元</w:t>
            </w:r>
            <w:r>
              <w:rPr>
                <w:rFonts w:hint="eastAsia" w:ascii="宋体" w:hAnsi="宋体" w:eastAsia="宋体" w:cs="宋体"/>
                <w:sz w:val="24"/>
                <w:szCs w:val="24"/>
                <w:highlight w:val="none"/>
                <w:u w:val="singl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说明：</w:t>
      </w:r>
      <w:r>
        <w:rPr>
          <w:rFonts w:hint="eastAsia" w:ascii="仿宋" w:hAnsi="仿宋" w:eastAsia="仿宋" w:cs="仿宋"/>
          <w:color w:val="000000"/>
          <w:kern w:val="0"/>
          <w:sz w:val="28"/>
          <w:szCs w:val="28"/>
          <w:highlight w:val="none"/>
          <w:shd w:val="clear" w:color="auto" w:fill="FFFFFF"/>
          <w:lang w:val="en-US" w:eastAsia="zh-CN" w:bidi="ar-SA"/>
        </w:rPr>
        <w:t>数量以实际需求数量为准，单价含</w:t>
      </w:r>
      <w:r>
        <w:rPr>
          <w:rFonts w:hint="eastAsia" w:ascii="仿宋" w:hAnsi="仿宋" w:eastAsia="仿宋" w:cs="仿宋"/>
          <w:color w:val="000000"/>
          <w:kern w:val="0"/>
          <w:sz w:val="28"/>
          <w:szCs w:val="28"/>
          <w:highlight w:val="none"/>
          <w:shd w:val="clear" w:color="auto" w:fill="FFFFFF"/>
          <w:lang w:val="zh-CN" w:eastAsia="zh-CN" w:bidi="ar-SA"/>
        </w:rPr>
        <w:t>税费、装卸费用及运输费用</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二、质量标准：乙方供给甲方的产品必须达到国家规定的化肥质量标准，随产品附送同批产品的生产批号、须开具增值税发票，并保证产品有效期。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三、包装标准：内塑外编，包装不计价不回收，随货同销。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四、交货：乙方根据甲方要求，合理期限内完成供货。交提货地址：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五、货款结算方式：货到付款。运输费、装卸费、税费等由乙方负责；甲方自收到乙方增值税发票后，根据甲方财务报销流程付款。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六、验收标准、方法及提出异议的期限：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在收货时需及时验货，验收过程中如对于化肥的规格、数量等与约定不符或有其他质量问题的，应立即向乙方提出异议，由甲乙双方派人抽样化验或送第三方质检机构复检，异议期为货物签收一周。异议经核实，乙方应无条件退货或换货。</w:t>
      </w:r>
    </w:p>
    <w:p>
      <w:pPr>
        <w:spacing w:line="48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七、违约责任：</w:t>
      </w:r>
    </w:p>
    <w:p>
      <w:pPr>
        <w:spacing w:line="480" w:lineRule="exact"/>
        <w:ind w:firstLine="560" w:firstLineChars="200"/>
        <w:rPr>
          <w:rFonts w:hint="eastAsia" w:ascii="宋体" w:hAnsi="宋体" w:cs="宋体"/>
          <w:sz w:val="24"/>
          <w:szCs w:val="24"/>
        </w:rPr>
      </w:pPr>
      <w:r>
        <w:rPr>
          <w:rFonts w:hint="eastAsia" w:ascii="仿宋" w:hAnsi="仿宋" w:eastAsia="仿宋" w:cs="仿宋"/>
          <w:color w:val="000000"/>
          <w:kern w:val="0"/>
          <w:sz w:val="28"/>
          <w:szCs w:val="28"/>
          <w:shd w:val="clear" w:color="auto" w:fill="FFFFFF"/>
        </w:rPr>
        <w:t>1.如乙方没有按照合同约定期限履行送货义务，每逾期一天，向甲方支付合同价款2%的违约金，逾期10日，甲方有权解除合同，要求乙方承担由此造成甲方的所有损失，并按合同总额的20%支付违约金。</w:t>
      </w:r>
    </w:p>
    <w:p>
      <w:pPr>
        <w:pStyle w:val="4"/>
        <w:spacing w:line="48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2.如乙方的产品经第三方机构检测不符合国家标准或合同约定质量标准的，甲方有权拒收、换货或退货，所造成的运输、装卸、产品等损失均由乙方承担，且甲方有权要求乙方支付合同价款20%的违约金。</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3.标的物所有权自交付时转移，但甲方未履行支付价款义务的，标的物属于乙方所有。</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4.化肥不符合包装要求或包装有破损的，甲方有权要求换货、退货，或按照本协议规定产品的销售价格乘以破损产品数量扣除货款。因退换货产生的运输费、装卸费由乙方承担。</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甲方应按所买化肥标签注明的用量、使用技术和方法在有效期内使用化肥，且自合同签订一年内乙方应向甲方提供良好的技术支持和售后服务。如在乙方已提供用量说明和使用技术的情况下，因甲方操作问题导致农作物受损，由甲方自行承担，乙方不承担任何责任。</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6.甲方经营过程中保存不善等非供货方原因造成的质量问题，乙方不承担责任。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九、其他事项：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1.本合同经甲乙双方签字加盖公章或合同章后生效，有效期至该笔业务结束止；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b/>
          <w:bCs/>
          <w:color w:val="000000"/>
          <w:kern w:val="0"/>
          <w:sz w:val="28"/>
          <w:szCs w:val="28"/>
          <w:shd w:val="clear" w:color="auto" w:fill="FFFFFF"/>
          <w:lang w:val="en-US" w:eastAsia="zh-CN" w:bidi="ar-SA"/>
        </w:rPr>
        <w:t>本合同一式叁份，甲方执贰份，乙方执壹份</w:t>
      </w:r>
      <w:r>
        <w:rPr>
          <w:rFonts w:hint="eastAsia" w:ascii="仿宋" w:hAnsi="仿宋" w:eastAsia="仿宋" w:cs="仿宋"/>
          <w:color w:val="000000"/>
          <w:kern w:val="0"/>
          <w:sz w:val="28"/>
          <w:szCs w:val="28"/>
          <w:shd w:val="clear" w:color="auto" w:fill="FFFFFF"/>
          <w:lang w:val="en-US"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3.签约地：青口投资公司。</w:t>
      </w:r>
    </w:p>
    <w:p>
      <w:pPr>
        <w:spacing w:line="400" w:lineRule="exact"/>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p>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764F4E64"/>
    <w:rsid w:val="01620030"/>
    <w:rsid w:val="04092776"/>
    <w:rsid w:val="2CD920D9"/>
    <w:rsid w:val="43CA546C"/>
    <w:rsid w:val="4CF12BA9"/>
    <w:rsid w:val="4E6A6F56"/>
    <w:rsid w:val="5FFB2F6A"/>
    <w:rsid w:val="658D384E"/>
    <w:rsid w:val="66880770"/>
    <w:rsid w:val="764F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2023-05-16T08:21:00Z</dcterms:created>
  <dc:creator>番茄土豆泥 。</dc:creator>
  <cp:lastModifiedBy>姜姝妍</cp:lastModifiedBy>
  <cp:lastPrinted>2024-01-03T07:47:00Z</cp:lastPrinted>
  <dcterms:modified xsi:type="dcterms:W3CDTF">2024-04-01T07:22:08Z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127298E37CA34C78B363D5E7D2E80CF9_11</vt:lpwstr>
  </property>
</Properties>
</file>